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55" w:rsidRDefault="009120A9" w:rsidP="002732A1">
      <w:pPr>
        <w:rPr>
          <w:b/>
          <w:sz w:val="36"/>
          <w:szCs w:val="36"/>
        </w:rPr>
      </w:pPr>
      <w:r w:rsidRPr="00AC184C">
        <w:rPr>
          <w:noProof/>
          <w:lang w:val="en-US"/>
        </w:rPr>
        <w:drawing>
          <wp:inline distT="0" distB="0" distL="0" distR="0">
            <wp:extent cx="5486400" cy="1244338"/>
            <wp:effectExtent l="0" t="0" r="0" b="0"/>
            <wp:docPr id="1" name="Image 1" descr="LOGO BOT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TTIN.jpg"/>
                    <pic:cNvPicPr>
                      <a:picLocks noChangeAspect="1" noChangeArrowheads="1"/>
                    </pic:cNvPicPr>
                  </pic:nvPicPr>
                  <pic:blipFill>
                    <a:blip r:embed="rId6">
                      <a:extLst>
                        <a:ext uri="{28A0092B-C50C-407E-A947-70E740481C1C}">
                          <a14:useLocalDpi xmlns:a14="http://schemas.microsoft.com/office/drawing/2010/main" val="0"/>
                        </a:ext>
                      </a:extLst>
                    </a:blip>
                    <a:srcRect l="6479" t="40071" r="7820" b="40492"/>
                    <a:stretch>
                      <a:fillRect/>
                    </a:stretch>
                  </pic:blipFill>
                  <pic:spPr bwMode="auto">
                    <a:xfrm>
                      <a:off x="0" y="0"/>
                      <a:ext cx="5486400" cy="1244338"/>
                    </a:xfrm>
                    <a:prstGeom prst="rect">
                      <a:avLst/>
                    </a:prstGeom>
                    <a:noFill/>
                    <a:ln>
                      <a:noFill/>
                    </a:ln>
                  </pic:spPr>
                </pic:pic>
              </a:graphicData>
            </a:graphic>
          </wp:inline>
        </w:drawing>
      </w:r>
      <w:bookmarkStart w:id="0" w:name="_GoBack"/>
      <w:bookmarkEnd w:id="0"/>
      <w:r w:rsidR="002732A1" w:rsidRPr="002732A1">
        <w:rPr>
          <w:b/>
          <w:color w:val="4472C4" w:themeColor="accent5"/>
          <w:sz w:val="36"/>
          <w:szCs w:val="36"/>
        </w:rPr>
        <w:t xml:space="preserve"> </w:t>
      </w:r>
    </w:p>
    <w:p w:rsidR="002732A1" w:rsidRDefault="002732A1" w:rsidP="002732A1">
      <w:pPr>
        <w:rPr>
          <w:b/>
          <w:sz w:val="36"/>
          <w:szCs w:val="36"/>
        </w:rPr>
      </w:pPr>
    </w:p>
    <w:p w:rsidR="002732A1" w:rsidRDefault="002732A1" w:rsidP="002732A1">
      <w:pPr>
        <w:jc w:val="center"/>
        <w:rPr>
          <w:b/>
          <w:sz w:val="32"/>
          <w:szCs w:val="32"/>
        </w:rPr>
      </w:pPr>
      <w:r>
        <w:rPr>
          <w:b/>
          <w:sz w:val="32"/>
          <w:szCs w:val="32"/>
        </w:rPr>
        <w:t>UNE SECONDE VIE</w:t>
      </w:r>
    </w:p>
    <w:p w:rsidR="002732A1" w:rsidRDefault="00975B53" w:rsidP="002732A1">
      <w:pPr>
        <w:jc w:val="both"/>
        <w:rPr>
          <w:sz w:val="28"/>
          <w:szCs w:val="28"/>
        </w:rPr>
      </w:pPr>
      <w:r w:rsidRPr="00975B53">
        <w:rPr>
          <w:b/>
          <w:sz w:val="28"/>
          <w:szCs w:val="28"/>
        </w:rPr>
        <w:t>Suzanne St-Michel</w:t>
      </w:r>
      <w:r>
        <w:rPr>
          <w:sz w:val="28"/>
          <w:szCs w:val="28"/>
        </w:rPr>
        <w:t xml:space="preserve">. </w:t>
      </w:r>
      <w:r w:rsidR="002732A1">
        <w:rPr>
          <w:sz w:val="28"/>
          <w:szCs w:val="28"/>
        </w:rPr>
        <w:t>Avant de commencer, permettez-moi de me présenter. Je suis retraitée depuis 4 ans. Le début de ma « seconde vie » ne fut pas facile mais l’une des leçons que j’ai apprise est </w:t>
      </w:r>
      <w:r w:rsidR="003525EB">
        <w:rPr>
          <w:sz w:val="28"/>
          <w:szCs w:val="28"/>
        </w:rPr>
        <w:t>la suivante</w:t>
      </w:r>
      <w:r w:rsidR="002732A1">
        <w:rPr>
          <w:sz w:val="28"/>
          <w:szCs w:val="28"/>
        </w:rPr>
        <w:t xml:space="preserve">: ce n’est pas en restant assis chez soi que le bien-être et les petits bonheurs vont </w:t>
      </w:r>
      <w:r>
        <w:rPr>
          <w:sz w:val="28"/>
          <w:szCs w:val="28"/>
        </w:rPr>
        <w:t>se pointer le bout du nez!</w:t>
      </w:r>
    </w:p>
    <w:p w:rsidR="003525EB" w:rsidRDefault="003525EB" w:rsidP="002732A1">
      <w:pPr>
        <w:jc w:val="both"/>
        <w:rPr>
          <w:sz w:val="28"/>
          <w:szCs w:val="28"/>
        </w:rPr>
      </w:pPr>
      <w:r>
        <w:rPr>
          <w:sz w:val="28"/>
          <w:szCs w:val="28"/>
        </w:rPr>
        <w:tab/>
        <w:t xml:space="preserve">En m’impliquant dans la Table des aînés des </w:t>
      </w:r>
      <w:proofErr w:type="spellStart"/>
      <w:r>
        <w:rPr>
          <w:sz w:val="28"/>
          <w:szCs w:val="28"/>
        </w:rPr>
        <w:t>Pays-d’en-Haut</w:t>
      </w:r>
      <w:proofErr w:type="spellEnd"/>
      <w:r>
        <w:rPr>
          <w:sz w:val="28"/>
          <w:szCs w:val="28"/>
        </w:rPr>
        <w:t xml:space="preserve"> et le comité de communication, un monde s’est ouvert à moi. J’ai découvert des gens généreux par leur bénévolat et l’existence de services inconnus </w:t>
      </w:r>
      <w:r w:rsidR="00975B53">
        <w:rPr>
          <w:sz w:val="28"/>
          <w:szCs w:val="28"/>
        </w:rPr>
        <w:t>auxquels j’a</w:t>
      </w:r>
      <w:r w:rsidR="003A417E">
        <w:rPr>
          <w:sz w:val="28"/>
          <w:szCs w:val="28"/>
        </w:rPr>
        <w:t>i</w:t>
      </w:r>
      <w:r w:rsidR="00975B53">
        <w:rPr>
          <w:sz w:val="28"/>
          <w:szCs w:val="28"/>
        </w:rPr>
        <w:t xml:space="preserve"> accès </w:t>
      </w:r>
      <w:r>
        <w:rPr>
          <w:sz w:val="28"/>
          <w:szCs w:val="28"/>
        </w:rPr>
        <w:t xml:space="preserve">près de chez </w:t>
      </w:r>
      <w:r w:rsidR="00975B53">
        <w:rPr>
          <w:sz w:val="28"/>
          <w:szCs w:val="28"/>
        </w:rPr>
        <w:t>n</w:t>
      </w:r>
      <w:r>
        <w:rPr>
          <w:sz w:val="28"/>
          <w:szCs w:val="28"/>
        </w:rPr>
        <w:t>ous.</w:t>
      </w:r>
    </w:p>
    <w:p w:rsidR="003525EB" w:rsidRDefault="003525EB" w:rsidP="002732A1">
      <w:pPr>
        <w:jc w:val="both"/>
        <w:rPr>
          <w:b/>
          <w:sz w:val="28"/>
          <w:szCs w:val="28"/>
        </w:rPr>
      </w:pPr>
    </w:p>
    <w:p w:rsidR="003525EB" w:rsidRDefault="003525EB" w:rsidP="002732A1">
      <w:pPr>
        <w:jc w:val="both"/>
        <w:rPr>
          <w:b/>
          <w:sz w:val="28"/>
          <w:szCs w:val="28"/>
        </w:rPr>
      </w:pPr>
      <w:r w:rsidRPr="003525EB">
        <w:rPr>
          <w:b/>
          <w:sz w:val="28"/>
          <w:szCs w:val="28"/>
        </w:rPr>
        <w:t xml:space="preserve">Qu’est-ce que la Table des aînés ? </w:t>
      </w:r>
    </w:p>
    <w:p w:rsidR="003525EB" w:rsidRDefault="003525EB" w:rsidP="002732A1">
      <w:pPr>
        <w:jc w:val="both"/>
        <w:rPr>
          <w:sz w:val="28"/>
          <w:szCs w:val="28"/>
        </w:rPr>
      </w:pPr>
      <w:r>
        <w:rPr>
          <w:b/>
          <w:sz w:val="28"/>
          <w:szCs w:val="28"/>
        </w:rPr>
        <w:tab/>
      </w:r>
      <w:r>
        <w:rPr>
          <w:sz w:val="28"/>
          <w:szCs w:val="28"/>
        </w:rPr>
        <w:t>La Table des a</w:t>
      </w:r>
      <w:r w:rsidR="00157D45">
        <w:rPr>
          <w:sz w:val="28"/>
          <w:szCs w:val="28"/>
        </w:rPr>
        <w:t xml:space="preserve">înés des </w:t>
      </w:r>
      <w:proofErr w:type="spellStart"/>
      <w:r w:rsidR="00157D45">
        <w:rPr>
          <w:sz w:val="28"/>
          <w:szCs w:val="28"/>
        </w:rPr>
        <w:t>Pays-d’en-Haut</w:t>
      </w:r>
      <w:proofErr w:type="spellEnd"/>
      <w:r w:rsidR="00157D45">
        <w:rPr>
          <w:sz w:val="28"/>
          <w:szCs w:val="28"/>
        </w:rPr>
        <w:t xml:space="preserve"> est un lieu de concertation et d’action qui </w:t>
      </w:r>
      <w:r w:rsidR="00D525BE">
        <w:rPr>
          <w:sz w:val="28"/>
          <w:szCs w:val="28"/>
        </w:rPr>
        <w:t>permet d’</w:t>
      </w:r>
      <w:r w:rsidR="00157D45">
        <w:rPr>
          <w:sz w:val="28"/>
          <w:szCs w:val="28"/>
        </w:rPr>
        <w:t>interven</w:t>
      </w:r>
      <w:r w:rsidR="00D525BE">
        <w:rPr>
          <w:sz w:val="28"/>
          <w:szCs w:val="28"/>
        </w:rPr>
        <w:t>ir</w:t>
      </w:r>
      <w:r w:rsidR="00157D45">
        <w:rPr>
          <w:sz w:val="28"/>
          <w:szCs w:val="28"/>
        </w:rPr>
        <w:t xml:space="preserve"> dans des situations qui mettent en jeu la qualité de vie, les intérêts et les droits des aînés. Elle est composé de :</w:t>
      </w:r>
    </w:p>
    <w:p w:rsidR="00157D45" w:rsidRDefault="00157D45" w:rsidP="00157D45">
      <w:pPr>
        <w:pStyle w:val="Paragraphedeliste"/>
        <w:numPr>
          <w:ilvl w:val="0"/>
          <w:numId w:val="2"/>
        </w:numPr>
        <w:jc w:val="both"/>
        <w:rPr>
          <w:sz w:val="28"/>
          <w:szCs w:val="28"/>
        </w:rPr>
      </w:pPr>
      <w:r>
        <w:rPr>
          <w:sz w:val="28"/>
          <w:szCs w:val="28"/>
        </w:rPr>
        <w:t>39 groupes : alimentation, bénévolat, culture, défense des droits, entraide, hébergement, proches-aidants, santé et services sociaux, etc.,</w:t>
      </w:r>
    </w:p>
    <w:p w:rsidR="00157D45" w:rsidRDefault="00157D45" w:rsidP="00157D45">
      <w:pPr>
        <w:pStyle w:val="Paragraphedeliste"/>
        <w:numPr>
          <w:ilvl w:val="0"/>
          <w:numId w:val="2"/>
        </w:numPr>
        <w:jc w:val="both"/>
        <w:rPr>
          <w:sz w:val="28"/>
          <w:szCs w:val="28"/>
        </w:rPr>
      </w:pPr>
      <w:r>
        <w:rPr>
          <w:sz w:val="28"/>
          <w:szCs w:val="28"/>
        </w:rPr>
        <w:t>Représentants municipaux et de la MRC,</w:t>
      </w:r>
    </w:p>
    <w:p w:rsidR="00157D45" w:rsidRDefault="00157D45" w:rsidP="00157D45">
      <w:pPr>
        <w:pStyle w:val="Paragraphedeliste"/>
        <w:numPr>
          <w:ilvl w:val="0"/>
          <w:numId w:val="2"/>
        </w:numPr>
        <w:jc w:val="both"/>
        <w:rPr>
          <w:sz w:val="28"/>
          <w:szCs w:val="28"/>
        </w:rPr>
      </w:pPr>
      <w:r>
        <w:rPr>
          <w:sz w:val="28"/>
          <w:szCs w:val="28"/>
        </w:rPr>
        <w:t>12 clubs de l’Âge d’or,</w:t>
      </w:r>
    </w:p>
    <w:p w:rsidR="00067C27" w:rsidRDefault="00157D45" w:rsidP="00067C27">
      <w:pPr>
        <w:pStyle w:val="Paragraphedeliste"/>
        <w:numPr>
          <w:ilvl w:val="0"/>
          <w:numId w:val="2"/>
        </w:numPr>
        <w:jc w:val="both"/>
        <w:rPr>
          <w:sz w:val="28"/>
          <w:szCs w:val="28"/>
        </w:rPr>
      </w:pPr>
      <w:r>
        <w:rPr>
          <w:sz w:val="28"/>
          <w:szCs w:val="28"/>
        </w:rPr>
        <w:t>12 citoyens d</w:t>
      </w:r>
      <w:r w:rsidR="007B4EF6">
        <w:rPr>
          <w:sz w:val="28"/>
          <w:szCs w:val="28"/>
        </w:rPr>
        <w:t>es 10 municipalités composant la</w:t>
      </w:r>
      <w:r>
        <w:rPr>
          <w:sz w:val="28"/>
          <w:szCs w:val="28"/>
        </w:rPr>
        <w:t xml:space="preserve"> MRC</w:t>
      </w:r>
      <w:r w:rsidR="00D525BE">
        <w:rPr>
          <w:sz w:val="28"/>
          <w:szCs w:val="28"/>
        </w:rPr>
        <w:t>.</w:t>
      </w:r>
    </w:p>
    <w:p w:rsidR="007B4EF6" w:rsidRPr="00067C27" w:rsidRDefault="00067C27" w:rsidP="00067C27">
      <w:pPr>
        <w:pStyle w:val="Paragraphedeliste"/>
        <w:numPr>
          <w:ilvl w:val="0"/>
          <w:numId w:val="2"/>
        </w:numPr>
        <w:jc w:val="both"/>
        <w:rPr>
          <w:sz w:val="28"/>
          <w:szCs w:val="28"/>
        </w:rPr>
      </w:pPr>
      <w:r>
        <w:rPr>
          <w:sz w:val="28"/>
          <w:szCs w:val="28"/>
        </w:rPr>
        <w:t>Pl</w:t>
      </w:r>
      <w:r w:rsidR="007B4EF6" w:rsidRPr="00067C27">
        <w:rPr>
          <w:sz w:val="28"/>
          <w:szCs w:val="28"/>
        </w:rPr>
        <w:t>usieurs comités dont celui des communications.</w:t>
      </w:r>
    </w:p>
    <w:p w:rsidR="007B4EF6" w:rsidRDefault="007B4EF6" w:rsidP="007B4EF6">
      <w:pPr>
        <w:spacing w:before="240"/>
        <w:jc w:val="both"/>
        <w:rPr>
          <w:sz w:val="28"/>
          <w:szCs w:val="28"/>
        </w:rPr>
      </w:pPr>
      <w:r>
        <w:rPr>
          <w:sz w:val="28"/>
          <w:szCs w:val="28"/>
        </w:rPr>
        <w:t xml:space="preserve">Ce comité a pris un an (2015-2016) </w:t>
      </w:r>
      <w:r w:rsidR="00975B53">
        <w:rPr>
          <w:sz w:val="28"/>
          <w:szCs w:val="28"/>
        </w:rPr>
        <w:t>à</w:t>
      </w:r>
      <w:r>
        <w:rPr>
          <w:sz w:val="28"/>
          <w:szCs w:val="28"/>
        </w:rPr>
        <w:t xml:space="preserve"> bâtir pour vous le </w:t>
      </w:r>
      <w:r w:rsidRPr="0031122F">
        <w:rPr>
          <w:b/>
          <w:sz w:val="28"/>
          <w:szCs w:val="28"/>
        </w:rPr>
        <w:t>Répertoire des ressources pour le 55+</w:t>
      </w:r>
      <w:r>
        <w:rPr>
          <w:sz w:val="28"/>
          <w:szCs w:val="28"/>
        </w:rPr>
        <w:t xml:space="preserve"> d</w:t>
      </w:r>
      <w:r w:rsidR="00D525BE">
        <w:rPr>
          <w:sz w:val="28"/>
          <w:szCs w:val="28"/>
        </w:rPr>
        <w:t>e</w:t>
      </w:r>
      <w:r>
        <w:rPr>
          <w:sz w:val="28"/>
          <w:szCs w:val="28"/>
        </w:rPr>
        <w:t xml:space="preserve"> la MRC. Les chroniques serviront à les découvrir </w:t>
      </w:r>
      <w:r>
        <w:rPr>
          <w:sz w:val="28"/>
          <w:szCs w:val="28"/>
        </w:rPr>
        <w:lastRenderedPageBreak/>
        <w:t xml:space="preserve">et </w:t>
      </w:r>
      <w:r w:rsidR="00D525BE">
        <w:rPr>
          <w:sz w:val="28"/>
          <w:szCs w:val="28"/>
        </w:rPr>
        <w:t xml:space="preserve">à </w:t>
      </w:r>
      <w:r>
        <w:rPr>
          <w:sz w:val="28"/>
          <w:szCs w:val="28"/>
        </w:rPr>
        <w:t>les utiliser. Vous pouvez le consulter à l’Hôtel-de-Ville de votre municipalité.</w:t>
      </w:r>
    </w:p>
    <w:p w:rsidR="00D525BE" w:rsidRDefault="00D525BE" w:rsidP="007B4EF6">
      <w:pPr>
        <w:spacing w:before="240"/>
        <w:jc w:val="both"/>
        <w:rPr>
          <w:sz w:val="28"/>
          <w:szCs w:val="28"/>
        </w:rPr>
      </w:pPr>
      <w:r>
        <w:rPr>
          <w:sz w:val="28"/>
          <w:szCs w:val="28"/>
        </w:rPr>
        <w:tab/>
        <w:t xml:space="preserve">En plus des types de ressources offerts par les 39 organisations, le Répertoire nous informe sur une foule de sujets classés par municipalité : </w:t>
      </w:r>
      <w:r w:rsidR="00FC7D17">
        <w:rPr>
          <w:sz w:val="28"/>
          <w:szCs w:val="28"/>
        </w:rPr>
        <w:t>l</w:t>
      </w:r>
      <w:r>
        <w:rPr>
          <w:sz w:val="28"/>
          <w:szCs w:val="28"/>
        </w:rPr>
        <w:t>’aide à domicile et les soins en fin de vie mais aussi l’activité physique, la couture,</w:t>
      </w:r>
      <w:r w:rsidR="00FC7D17">
        <w:rPr>
          <w:sz w:val="28"/>
          <w:szCs w:val="28"/>
        </w:rPr>
        <w:t xml:space="preserve"> l’habitation, l’impôt, la sécurité, le transport et biens d’autres. Vous pouvez aussi le consulter sur internet : </w:t>
      </w:r>
      <w:hyperlink r:id="rId7" w:history="1">
        <w:r w:rsidR="00FC7D17" w:rsidRPr="000F59A9">
          <w:rPr>
            <w:rStyle w:val="Lienhypertexte"/>
            <w:sz w:val="28"/>
            <w:szCs w:val="28"/>
          </w:rPr>
          <w:t>www.lespaysdenhaut.com</w:t>
        </w:r>
      </w:hyperlink>
      <w:r w:rsidR="00FC7D17">
        <w:rPr>
          <w:sz w:val="28"/>
          <w:szCs w:val="28"/>
        </w:rPr>
        <w:t>.</w:t>
      </w:r>
    </w:p>
    <w:p w:rsidR="007B4EF6" w:rsidRPr="00443874" w:rsidRDefault="00443874" w:rsidP="00067C27">
      <w:pPr>
        <w:spacing w:before="60" w:after="60"/>
        <w:jc w:val="center"/>
        <w:rPr>
          <w:b/>
          <w:sz w:val="36"/>
          <w:szCs w:val="36"/>
        </w:rPr>
      </w:pPr>
      <w:r>
        <w:rPr>
          <w:b/>
          <w:sz w:val="36"/>
          <w:szCs w:val="36"/>
        </w:rPr>
        <w:t>PHOTO DU RÉPERTOIRE</w:t>
      </w:r>
    </w:p>
    <w:p w:rsidR="00067C27" w:rsidRPr="00067C27" w:rsidRDefault="00067C27" w:rsidP="00067C27">
      <w:pPr>
        <w:spacing w:before="60" w:after="60"/>
        <w:jc w:val="both"/>
        <w:rPr>
          <w:b/>
          <w:sz w:val="28"/>
          <w:szCs w:val="28"/>
        </w:rPr>
      </w:pPr>
      <w:r w:rsidRPr="00067C27">
        <w:rPr>
          <w:b/>
          <w:sz w:val="28"/>
          <w:szCs w:val="28"/>
        </w:rPr>
        <w:t>Une seconde vie</w:t>
      </w:r>
    </w:p>
    <w:p w:rsidR="007B4EF6" w:rsidRDefault="00067C27" w:rsidP="00067C27">
      <w:pPr>
        <w:spacing w:before="120"/>
        <w:jc w:val="both"/>
        <w:rPr>
          <w:sz w:val="28"/>
          <w:szCs w:val="28"/>
        </w:rPr>
      </w:pPr>
      <w:r>
        <w:rPr>
          <w:sz w:val="28"/>
          <w:szCs w:val="28"/>
        </w:rPr>
        <w:tab/>
      </w:r>
      <w:r w:rsidR="007B4EF6">
        <w:rPr>
          <w:sz w:val="28"/>
          <w:szCs w:val="28"/>
        </w:rPr>
        <w:t xml:space="preserve">Revenons à notre seconde vie. </w:t>
      </w:r>
      <w:r w:rsidR="0014408E">
        <w:rPr>
          <w:sz w:val="28"/>
          <w:szCs w:val="28"/>
        </w:rPr>
        <w:t xml:space="preserve">Curieusement, qu’elle soit inattendue, devancée ou planifiée, lorsqu’elle arrive, elle commence </w:t>
      </w:r>
      <w:r w:rsidR="00FC7D17">
        <w:rPr>
          <w:sz w:val="28"/>
          <w:szCs w:val="28"/>
        </w:rPr>
        <w:t xml:space="preserve">généralement </w:t>
      </w:r>
      <w:r w:rsidR="0014408E">
        <w:rPr>
          <w:sz w:val="28"/>
          <w:szCs w:val="28"/>
        </w:rPr>
        <w:t>par une période de dé</w:t>
      </w:r>
      <w:r w:rsidR="00FC7D17">
        <w:rPr>
          <w:sz w:val="28"/>
          <w:szCs w:val="28"/>
        </w:rPr>
        <w:t>programma</w:t>
      </w:r>
      <w:r w:rsidR="0014408E">
        <w:rPr>
          <w:sz w:val="28"/>
          <w:szCs w:val="28"/>
        </w:rPr>
        <w:t>tion qui peut durer des</w:t>
      </w:r>
      <w:r w:rsidR="00FC7D17">
        <w:rPr>
          <w:sz w:val="28"/>
          <w:szCs w:val="28"/>
        </w:rPr>
        <w:t xml:space="preserve"> mois et même des années</w:t>
      </w:r>
      <w:r w:rsidR="0014408E">
        <w:rPr>
          <w:sz w:val="28"/>
          <w:szCs w:val="28"/>
        </w:rPr>
        <w:t>. En décembre 2016, j’ai eu à donner un séminaire basé sur mon expertise acquise dans mon ancienne vie. « Malheureusement », je me souvenais de tout, ça vous donne une idée!</w:t>
      </w:r>
    </w:p>
    <w:p w:rsidR="0014408E" w:rsidRDefault="0014408E" w:rsidP="00067C27">
      <w:pPr>
        <w:spacing w:before="120"/>
        <w:jc w:val="both"/>
        <w:rPr>
          <w:sz w:val="28"/>
          <w:szCs w:val="28"/>
        </w:rPr>
      </w:pPr>
      <w:r>
        <w:rPr>
          <w:sz w:val="28"/>
          <w:szCs w:val="28"/>
        </w:rPr>
        <w:tab/>
        <w:t xml:space="preserve">En même temps, vous pouvez être </w:t>
      </w:r>
      <w:proofErr w:type="spellStart"/>
      <w:r>
        <w:rPr>
          <w:sz w:val="28"/>
          <w:szCs w:val="28"/>
        </w:rPr>
        <w:t>super</w:t>
      </w:r>
      <w:r w:rsidR="00B52AB1">
        <w:rPr>
          <w:sz w:val="28"/>
          <w:szCs w:val="28"/>
        </w:rPr>
        <w:t>a</w:t>
      </w:r>
      <w:r>
        <w:rPr>
          <w:sz w:val="28"/>
          <w:szCs w:val="28"/>
        </w:rPr>
        <w:t>ctif</w:t>
      </w:r>
      <w:proofErr w:type="spellEnd"/>
      <w:r>
        <w:rPr>
          <w:sz w:val="28"/>
          <w:szCs w:val="28"/>
        </w:rPr>
        <w:t xml:space="preserve"> ou contemplatif. Je pense que les contemplatifs n’ont pas à se sentir coupable </w:t>
      </w:r>
      <w:r w:rsidR="00B52AB1">
        <w:rPr>
          <w:sz w:val="28"/>
          <w:szCs w:val="28"/>
        </w:rPr>
        <w:t xml:space="preserve">– ça prendra le temps que ça prendra. Le calme et la plénitude </w:t>
      </w:r>
      <w:r w:rsidR="00FC7D17">
        <w:rPr>
          <w:sz w:val="28"/>
          <w:szCs w:val="28"/>
        </w:rPr>
        <w:t>n</w:t>
      </w:r>
      <w:r w:rsidR="00B52AB1">
        <w:rPr>
          <w:sz w:val="28"/>
          <w:szCs w:val="28"/>
        </w:rPr>
        <w:t xml:space="preserve">ous aident à apprivoiser </w:t>
      </w:r>
      <w:r w:rsidR="003A417E">
        <w:rPr>
          <w:sz w:val="28"/>
          <w:szCs w:val="28"/>
        </w:rPr>
        <w:t>cette</w:t>
      </w:r>
      <w:r w:rsidR="00B52AB1">
        <w:rPr>
          <w:sz w:val="28"/>
          <w:szCs w:val="28"/>
        </w:rPr>
        <w:t xml:space="preserve"> nouvelle liberté – chacun se connaît et sait ce qu’il veut pour lui-même.</w:t>
      </w:r>
      <w:r w:rsidR="00443874">
        <w:rPr>
          <w:sz w:val="28"/>
          <w:szCs w:val="28"/>
        </w:rPr>
        <w:t xml:space="preserve"> D’autres ont un horaire plus chargé que dans leur première vie. Est-ce la passion ou bien cherche-t-on à s’étourdir ?</w:t>
      </w:r>
    </w:p>
    <w:p w:rsidR="00B52AB1" w:rsidRDefault="00B52AB1" w:rsidP="00067C27">
      <w:pPr>
        <w:spacing w:before="120"/>
        <w:jc w:val="both"/>
        <w:rPr>
          <w:sz w:val="28"/>
          <w:szCs w:val="28"/>
        </w:rPr>
      </w:pPr>
      <w:r>
        <w:rPr>
          <w:sz w:val="28"/>
          <w:szCs w:val="28"/>
        </w:rPr>
        <w:tab/>
        <w:t>Avec le temps, le stress provenant du travail s’estompe et la seconde vie prend forme. Et si le tout est accompagné d’un déménagement éloigné, il est évident que le cercle d’amis changera a</w:t>
      </w:r>
      <w:r w:rsidR="006A1E69">
        <w:rPr>
          <w:sz w:val="28"/>
          <w:szCs w:val="28"/>
        </w:rPr>
        <w:t>ussi</w:t>
      </w:r>
      <w:r>
        <w:rPr>
          <w:sz w:val="28"/>
          <w:szCs w:val="28"/>
        </w:rPr>
        <w:t>.</w:t>
      </w:r>
    </w:p>
    <w:p w:rsidR="00443874" w:rsidRDefault="00B52AB1" w:rsidP="00067C27">
      <w:pPr>
        <w:spacing w:before="120"/>
        <w:jc w:val="both"/>
        <w:rPr>
          <w:sz w:val="28"/>
          <w:szCs w:val="28"/>
        </w:rPr>
      </w:pPr>
      <w:r>
        <w:rPr>
          <w:sz w:val="28"/>
          <w:szCs w:val="28"/>
        </w:rPr>
        <w:tab/>
        <w:t>Cette nouvelle liberté s’apprivoise</w:t>
      </w:r>
      <w:r w:rsidR="006A1E69">
        <w:rPr>
          <w:sz w:val="28"/>
          <w:szCs w:val="28"/>
        </w:rPr>
        <w:t xml:space="preserve"> et la réorganisation du quotidien ne se fait pas toujours facilement. Après avoir travaillé si fort, pourquoi ne pas apprécier ce que nous avons et ce que nous sommes devenus. Un petit projet à la fois, pourquoi pas!  Mais l’isolement et la solitude non désirés sont peut-être nos pires ennemis…</w:t>
      </w:r>
      <w:r w:rsidR="00443874">
        <w:rPr>
          <w:sz w:val="28"/>
          <w:szCs w:val="28"/>
        </w:rPr>
        <w:t xml:space="preserve">et ce n’est </w:t>
      </w:r>
      <w:r w:rsidR="003A417E">
        <w:rPr>
          <w:sz w:val="28"/>
          <w:szCs w:val="28"/>
        </w:rPr>
        <w:t xml:space="preserve">pas </w:t>
      </w:r>
      <w:r w:rsidR="00443874">
        <w:rPr>
          <w:sz w:val="28"/>
          <w:szCs w:val="28"/>
        </w:rPr>
        <w:t>une question d’âge.</w:t>
      </w:r>
      <w:r w:rsidR="00443874">
        <w:rPr>
          <w:sz w:val="28"/>
          <w:szCs w:val="28"/>
        </w:rPr>
        <w:tab/>
      </w:r>
    </w:p>
    <w:p w:rsidR="006A1E69" w:rsidRDefault="00443874" w:rsidP="00067C27">
      <w:pPr>
        <w:spacing w:before="120"/>
        <w:jc w:val="both"/>
        <w:rPr>
          <w:sz w:val="28"/>
          <w:szCs w:val="28"/>
        </w:rPr>
      </w:pPr>
      <w:r>
        <w:rPr>
          <w:sz w:val="28"/>
          <w:szCs w:val="28"/>
        </w:rPr>
        <w:tab/>
        <w:t xml:space="preserve">Voilà, </w:t>
      </w:r>
      <w:r w:rsidR="003A417E">
        <w:rPr>
          <w:sz w:val="28"/>
          <w:szCs w:val="28"/>
        </w:rPr>
        <w:t>la glace est cassée et je vous donne</w:t>
      </w:r>
      <w:r>
        <w:rPr>
          <w:sz w:val="28"/>
          <w:szCs w:val="28"/>
        </w:rPr>
        <w:t xml:space="preserve"> rendez-vous dans la publication du mois de mars.</w:t>
      </w:r>
    </w:p>
    <w:p w:rsidR="00443874" w:rsidRDefault="00443874" w:rsidP="00443874">
      <w:pPr>
        <w:spacing w:after="0" w:line="240" w:lineRule="auto"/>
        <w:jc w:val="both"/>
        <w:rPr>
          <w:sz w:val="28"/>
          <w:szCs w:val="28"/>
        </w:rPr>
      </w:pPr>
    </w:p>
    <w:p w:rsidR="003525EB" w:rsidRPr="00067C27" w:rsidRDefault="00067C27" w:rsidP="00067C27">
      <w:pPr>
        <w:spacing w:after="0" w:line="240" w:lineRule="auto"/>
        <w:jc w:val="both"/>
        <w:rPr>
          <w:b/>
          <w:sz w:val="28"/>
          <w:szCs w:val="28"/>
        </w:rPr>
      </w:pPr>
      <w:r w:rsidRPr="00067C27">
        <w:rPr>
          <w:b/>
          <w:sz w:val="28"/>
          <w:szCs w:val="28"/>
        </w:rPr>
        <w:t xml:space="preserve">Comité des communications </w:t>
      </w:r>
      <w:r>
        <w:rPr>
          <w:b/>
          <w:sz w:val="28"/>
          <w:szCs w:val="28"/>
        </w:rPr>
        <w:t xml:space="preserve">- </w:t>
      </w:r>
      <w:r w:rsidR="006A1E69" w:rsidRPr="00067C27">
        <w:rPr>
          <w:b/>
          <w:sz w:val="28"/>
          <w:szCs w:val="28"/>
        </w:rPr>
        <w:t xml:space="preserve">Table des aînés des </w:t>
      </w:r>
      <w:proofErr w:type="spellStart"/>
      <w:r w:rsidR="006A1E69" w:rsidRPr="00067C27">
        <w:rPr>
          <w:b/>
          <w:sz w:val="28"/>
          <w:szCs w:val="28"/>
        </w:rPr>
        <w:t>Pays-d’en-Haut</w:t>
      </w:r>
      <w:proofErr w:type="spellEnd"/>
      <w:r w:rsidR="00443874" w:rsidRPr="00067C27">
        <w:rPr>
          <w:b/>
          <w:sz w:val="28"/>
          <w:szCs w:val="28"/>
        </w:rPr>
        <w:t xml:space="preserve">  </w:t>
      </w:r>
    </w:p>
    <w:sectPr w:rsidR="003525EB" w:rsidRPr="00067C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7A68"/>
    <w:multiLevelType w:val="hybridMultilevel"/>
    <w:tmpl w:val="7BCA56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3EF7B5C"/>
    <w:multiLevelType w:val="hybridMultilevel"/>
    <w:tmpl w:val="9A8A18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A1"/>
    <w:rsid w:val="00067C27"/>
    <w:rsid w:val="0014408E"/>
    <w:rsid w:val="00157D45"/>
    <w:rsid w:val="002732A1"/>
    <w:rsid w:val="0031122F"/>
    <w:rsid w:val="003525EB"/>
    <w:rsid w:val="003A417E"/>
    <w:rsid w:val="00443874"/>
    <w:rsid w:val="006A1E69"/>
    <w:rsid w:val="007B4EF6"/>
    <w:rsid w:val="00880CF7"/>
    <w:rsid w:val="009120A9"/>
    <w:rsid w:val="00975B53"/>
    <w:rsid w:val="00B52AB1"/>
    <w:rsid w:val="00D525BE"/>
    <w:rsid w:val="00FA3255"/>
    <w:rsid w:val="00FC7D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6FE2"/>
  <w15:chartTrackingRefBased/>
  <w15:docId w15:val="{F53328C1-0751-4266-9AA0-96217DA9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D45"/>
    <w:pPr>
      <w:ind w:left="720"/>
      <w:contextualSpacing/>
    </w:pPr>
  </w:style>
  <w:style w:type="paragraph" w:styleId="Textedebulles">
    <w:name w:val="Balloon Text"/>
    <w:basedOn w:val="Normal"/>
    <w:link w:val="TextedebullesCar"/>
    <w:uiPriority w:val="99"/>
    <w:semiHidden/>
    <w:unhideWhenUsed/>
    <w:rsid w:val="003112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122F"/>
    <w:rPr>
      <w:rFonts w:ascii="Segoe UI" w:hAnsi="Segoe UI" w:cs="Segoe UI"/>
      <w:sz w:val="18"/>
      <w:szCs w:val="18"/>
    </w:rPr>
  </w:style>
  <w:style w:type="character" w:styleId="Lienhypertexte">
    <w:name w:val="Hyperlink"/>
    <w:basedOn w:val="Policepardfaut"/>
    <w:uiPriority w:val="99"/>
    <w:unhideWhenUsed/>
    <w:rsid w:val="00FC7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spaysdenhau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642F-E79A-4977-B7CB-11E42080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Belanger</dc:creator>
  <cp:keywords/>
  <dc:description/>
  <cp:lastModifiedBy>Violaine</cp:lastModifiedBy>
  <cp:revision>2</cp:revision>
  <cp:lastPrinted>2017-01-19T21:45:00Z</cp:lastPrinted>
  <dcterms:created xsi:type="dcterms:W3CDTF">2017-01-23T22:07:00Z</dcterms:created>
  <dcterms:modified xsi:type="dcterms:W3CDTF">2017-01-23T22:07:00Z</dcterms:modified>
</cp:coreProperties>
</file>